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1"/>
        <w:gridCol w:w="164"/>
        <w:gridCol w:w="544"/>
        <w:gridCol w:w="376"/>
        <w:gridCol w:w="333"/>
        <w:gridCol w:w="24"/>
        <w:gridCol w:w="563"/>
        <w:gridCol w:w="122"/>
        <w:gridCol w:w="166"/>
        <w:gridCol w:w="45"/>
        <w:gridCol w:w="498"/>
        <w:gridCol w:w="88"/>
        <w:gridCol w:w="612"/>
        <w:gridCol w:w="9"/>
        <w:gridCol w:w="299"/>
        <w:gridCol w:w="409"/>
        <w:gridCol w:w="449"/>
        <w:gridCol w:w="61"/>
        <w:gridCol w:w="199"/>
        <w:gridCol w:w="709"/>
        <w:gridCol w:w="12"/>
        <w:gridCol w:w="39"/>
        <w:gridCol w:w="658"/>
        <w:gridCol w:w="222"/>
        <w:gridCol w:w="368"/>
        <w:gridCol w:w="119"/>
        <w:gridCol w:w="433"/>
        <w:gridCol w:w="45"/>
        <w:gridCol w:w="231"/>
        <w:gridCol w:w="643"/>
        <w:gridCol w:w="939"/>
      </w:tblGrid>
      <w:tr w:rsidR="00C846BB" w:rsidRPr="00777BF5" w:rsidTr="005150E9">
        <w:trPr>
          <w:trHeight w:val="277"/>
          <w:jc w:val="center"/>
        </w:trPr>
        <w:tc>
          <w:tcPr>
            <w:tcW w:w="10490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pct15" w:color="auto" w:fill="FFFFFF" w:themeFill="background1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I. OGÓLNE INFORMACJE PODSTAWOWE O PRZEDMIOCIE</w:t>
            </w:r>
          </w:p>
        </w:tc>
      </w:tr>
      <w:tr w:rsidR="00C846BB" w:rsidRPr="00777BF5" w:rsidTr="005150E9">
        <w:trPr>
          <w:trHeight w:val="277"/>
          <w:jc w:val="center"/>
        </w:trPr>
        <w:tc>
          <w:tcPr>
            <w:tcW w:w="2552" w:type="dxa"/>
            <w:gridSpan w:val="6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46BB" w:rsidRPr="003772AE" w:rsidRDefault="00C846BB" w:rsidP="005150E9">
            <w:pPr>
              <w:jc w:val="center"/>
              <w:rPr>
                <w:rFonts w:eastAsia="Times New Roman"/>
                <w:sz w:val="20"/>
              </w:rPr>
            </w:pPr>
            <w:r w:rsidRPr="003772AE">
              <w:rPr>
                <w:rFonts w:eastAsia="Times New Roman"/>
                <w:sz w:val="20"/>
              </w:rPr>
              <w:t>KOD PRZEDMIOTU:</w:t>
            </w:r>
          </w:p>
          <w:p w:rsidR="00C846BB" w:rsidRPr="003772AE" w:rsidRDefault="00C846BB" w:rsidP="005150E9">
            <w:pPr>
              <w:spacing w:before="120" w:after="12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</w:rPr>
              <w:t>M26B</w:t>
            </w:r>
          </w:p>
        </w:tc>
        <w:tc>
          <w:tcPr>
            <w:tcW w:w="7938" w:type="dxa"/>
            <w:gridSpan w:val="2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6BB" w:rsidRPr="00777BF5" w:rsidRDefault="00C846BB" w:rsidP="005150E9">
            <w:pPr>
              <w:pStyle w:val="Nagwek1"/>
              <w:rPr>
                <w:rFonts w:eastAsia="Times New Roman"/>
                <w:sz w:val="24"/>
                <w:szCs w:val="24"/>
              </w:rPr>
            </w:pPr>
            <w:bookmarkStart w:id="0" w:name="_Toc82091518"/>
            <w:r>
              <w:t>Praktyka zawodowa II</w:t>
            </w:r>
            <w:bookmarkEnd w:id="0"/>
            <w:r w:rsidRPr="00513FDC">
              <w:t xml:space="preserve"> </w:t>
            </w:r>
          </w:p>
        </w:tc>
      </w:tr>
      <w:tr w:rsidR="00C846BB" w:rsidRPr="00777BF5" w:rsidTr="005150E9">
        <w:trPr>
          <w:trHeight w:val="580"/>
          <w:jc w:val="center"/>
        </w:trPr>
        <w:tc>
          <w:tcPr>
            <w:tcW w:w="4646" w:type="dxa"/>
            <w:gridSpan w:val="13"/>
            <w:vAlign w:val="center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4"/>
                <w:sz w:val="20"/>
                <w:szCs w:val="20"/>
                <w:lang w:eastAsia="pl-PL"/>
              </w:rPr>
              <w:t>Nazwa jednostki organizacyjnej prowadzącej kierunek:</w:t>
            </w:r>
          </w:p>
        </w:tc>
        <w:tc>
          <w:tcPr>
            <w:tcW w:w="5844" w:type="dxa"/>
            <w:gridSpan w:val="18"/>
            <w:vAlign w:val="center"/>
          </w:tcPr>
          <w:p w:rsidR="00C846BB" w:rsidRPr="00287BC2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Społeczna Akademia Nauk z siedzibą w Łodzi</w:t>
            </w:r>
          </w:p>
        </w:tc>
      </w:tr>
      <w:tr w:rsidR="00C846BB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Nazwa kierunku studiów, poziom kształcenia: </w:t>
            </w:r>
          </w:p>
        </w:tc>
        <w:tc>
          <w:tcPr>
            <w:tcW w:w="5844" w:type="dxa"/>
            <w:gridSpan w:val="18"/>
            <w:vAlign w:val="center"/>
          </w:tcPr>
          <w:p w:rsidR="00C846BB" w:rsidRPr="00287BC2" w:rsidRDefault="00C846BB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proofErr w:type="spellStart"/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Optometria</w:t>
            </w:r>
            <w:proofErr w:type="spellEnd"/>
          </w:p>
        </w:tc>
      </w:tr>
      <w:tr w:rsidR="00C846BB" w:rsidRPr="00777BF5" w:rsidTr="005150E9">
        <w:trPr>
          <w:trHeight w:val="554"/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Profil kształcenia:</w:t>
            </w:r>
          </w:p>
        </w:tc>
        <w:tc>
          <w:tcPr>
            <w:tcW w:w="5844" w:type="dxa"/>
            <w:gridSpan w:val="18"/>
            <w:tcBorders>
              <w:bottom w:val="single" w:sz="4" w:space="0" w:color="auto"/>
            </w:tcBorders>
            <w:vAlign w:val="center"/>
          </w:tcPr>
          <w:p w:rsidR="00C846BB" w:rsidRPr="00287BC2" w:rsidRDefault="00C846BB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PRAKTYCZNY </w:t>
            </w:r>
          </w:p>
        </w:tc>
      </w:tr>
      <w:tr w:rsidR="00C846BB" w:rsidRPr="00777BF5" w:rsidTr="005150E9">
        <w:trPr>
          <w:jc w:val="center"/>
        </w:trPr>
        <w:tc>
          <w:tcPr>
            <w:tcW w:w="4646" w:type="dxa"/>
            <w:gridSpan w:val="13"/>
            <w:tcBorders>
              <w:top w:val="single" w:sz="4" w:space="0" w:color="auto"/>
            </w:tcBorders>
            <w:shd w:val="clear" w:color="auto" w:fill="auto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Nazwa specjalności: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C846BB" w:rsidRPr="00287BC2" w:rsidRDefault="00C846BB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Nie dotyczy </w:t>
            </w:r>
          </w:p>
        </w:tc>
      </w:tr>
      <w:tr w:rsidR="00C846BB" w:rsidRPr="00777BF5" w:rsidTr="005150E9">
        <w:trPr>
          <w:jc w:val="center"/>
        </w:trPr>
        <w:tc>
          <w:tcPr>
            <w:tcW w:w="4646" w:type="dxa"/>
            <w:gridSpan w:val="13"/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Rodzaj modułu kształcenia:</w:t>
            </w:r>
          </w:p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(wskazać właściwe)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BB" w:rsidRPr="00287BC2" w:rsidRDefault="00C846BB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Praktyka zawodowa</w:t>
            </w:r>
          </w:p>
        </w:tc>
      </w:tr>
      <w:tr w:rsidR="00C846BB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Punkty ECTS: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BB" w:rsidRPr="00287BC2" w:rsidRDefault="00C846BB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5</w:t>
            </w:r>
          </w:p>
        </w:tc>
      </w:tr>
      <w:tr w:rsidR="00C846BB" w:rsidRPr="00777BF5" w:rsidTr="005150E9">
        <w:trPr>
          <w:trHeight w:val="173"/>
          <w:jc w:val="center"/>
        </w:trPr>
        <w:tc>
          <w:tcPr>
            <w:tcW w:w="4646" w:type="dxa"/>
            <w:gridSpan w:val="13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 xml:space="preserve">Rok / Semestr: 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846BB" w:rsidRPr="00287BC2" w:rsidRDefault="00C846BB" w:rsidP="005150E9">
            <w:pPr>
              <w:widowControl w:val="0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287BC2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I/2</w:t>
            </w:r>
          </w:p>
        </w:tc>
      </w:tr>
      <w:tr w:rsidR="00C846BB" w:rsidRPr="00777BF5" w:rsidTr="005150E9">
        <w:trPr>
          <w:trHeight w:val="173"/>
          <w:jc w:val="center"/>
        </w:trPr>
        <w:tc>
          <w:tcPr>
            <w:tcW w:w="4646" w:type="dxa"/>
            <w:gridSpan w:val="13"/>
            <w:tcBorders>
              <w:bottom w:val="single" w:sz="12" w:space="0" w:color="auto"/>
            </w:tcBorders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Osoba koordynująca przedmiot:</w:t>
            </w:r>
          </w:p>
        </w:tc>
        <w:tc>
          <w:tcPr>
            <w:tcW w:w="5844" w:type="dxa"/>
            <w:gridSpan w:val="1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trHeight w:val="50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II. WYMAGANIA WSTĘPNE (wynikające z następstwa przedmiotów)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 xml:space="preserve">Zaliczenie drugiego semestru studiów. Praktyka na oddziale okulistycznym , w specjalistycznej poradni okulistycznej lub w gabinecie </w:t>
            </w:r>
            <w:proofErr w:type="spellStart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optometrycznym</w:t>
            </w:r>
            <w:proofErr w:type="spellEnd"/>
            <w:r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.</w:t>
            </w:r>
          </w:p>
        </w:tc>
      </w:tr>
      <w:tr w:rsidR="00C846BB" w:rsidRPr="00777BF5" w:rsidTr="005150E9">
        <w:trPr>
          <w:trHeight w:val="50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  <w:vAlign w:val="center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III. CELE KSZTAŁCENIA DLA PRZEDMIOTU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40" w:after="4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C1</w:t>
            </w:r>
          </w:p>
        </w:tc>
        <w:tc>
          <w:tcPr>
            <w:tcW w:w="9379" w:type="dxa"/>
            <w:gridSpan w:val="30"/>
            <w:tcBorders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uppressLineNumbers/>
              <w:suppressAutoHyphens/>
              <w:snapToGrid w:val="0"/>
              <w:spacing w:before="40" w:after="40"/>
              <w:rPr>
                <w:rFonts w:eastAsia="Lucida Sans Unicode"/>
                <w:sz w:val="20"/>
                <w:szCs w:val="20"/>
                <w:lang w:eastAsia="pl-PL"/>
              </w:rPr>
            </w:pPr>
            <w:r>
              <w:rPr>
                <w:rFonts w:eastAsia="Lucida Sans Unicode"/>
                <w:sz w:val="20"/>
                <w:szCs w:val="20"/>
                <w:lang w:eastAsia="pl-PL"/>
              </w:rPr>
              <w:t xml:space="preserve">Doskonalenie wiedzy i umiejętności w zakresie przeprowadzania badań </w:t>
            </w:r>
            <w:proofErr w:type="spellStart"/>
            <w:r>
              <w:rPr>
                <w:rFonts w:eastAsia="Lucida Sans Unicode"/>
                <w:sz w:val="20"/>
                <w:szCs w:val="20"/>
                <w:lang w:eastAsia="pl-PL"/>
              </w:rPr>
              <w:t>optometryczno</w:t>
            </w:r>
            <w:proofErr w:type="spellEnd"/>
            <w:r>
              <w:rPr>
                <w:rFonts w:eastAsia="Lucida Sans Unicode"/>
                <w:sz w:val="20"/>
                <w:szCs w:val="20"/>
                <w:lang w:eastAsia="pl-PL"/>
              </w:rPr>
              <w:t>-diagnostycznych przy użyciu specjalistycznego sprzętu.</w:t>
            </w:r>
          </w:p>
        </w:tc>
      </w:tr>
      <w:tr w:rsidR="00C846BB" w:rsidRPr="00777BF5" w:rsidTr="005150E9">
        <w:trPr>
          <w:trHeight w:val="227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IV. FORMY ZAJĘĆ DYDAKTYCZNYCH ORAZ WYMIAR GODZIN </w:t>
            </w:r>
          </w:p>
        </w:tc>
      </w:tr>
      <w:tr w:rsidR="00C846BB" w:rsidRPr="00777BF5" w:rsidTr="005150E9">
        <w:trPr>
          <w:jc w:val="center"/>
        </w:trPr>
        <w:tc>
          <w:tcPr>
            <w:tcW w:w="1275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right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Wykład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4"/>
                <w:szCs w:val="14"/>
                <w:lang w:eastAsia="pl-PL"/>
              </w:rPr>
              <w:t>Ćwiczenia</w:t>
            </w:r>
          </w:p>
        </w:tc>
        <w:tc>
          <w:tcPr>
            <w:tcW w:w="919" w:type="dxa"/>
            <w:gridSpan w:val="5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proofErr w:type="spellStart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Konwersat</w:t>
            </w:r>
            <w:proofErr w:type="spellEnd"/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.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Lab.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Warsztaty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Projekt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Seminarium</w:t>
            </w:r>
          </w:p>
        </w:tc>
        <w:tc>
          <w:tcPr>
            <w:tcW w:w="92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 w:rsidRPr="00777BF5">
              <w:rPr>
                <w:rFonts w:eastAsia="Times New Roman"/>
                <w:b/>
                <w:sz w:val="14"/>
                <w:szCs w:val="14"/>
                <w:lang w:eastAsia="pl-PL"/>
              </w:rPr>
              <w:t>Konsultacje</w:t>
            </w:r>
          </w:p>
        </w:tc>
        <w:tc>
          <w:tcPr>
            <w:tcW w:w="91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4"/>
                <w:szCs w:val="14"/>
                <w:lang w:eastAsia="pl-PL"/>
              </w:rPr>
            </w:pPr>
            <w:r>
              <w:rPr>
                <w:rFonts w:eastAsia="Times New Roman"/>
                <w:b/>
                <w:sz w:val="14"/>
                <w:szCs w:val="14"/>
                <w:lang w:eastAsia="pl-PL"/>
              </w:rPr>
              <w:t>Praktyka zawodowa</w:t>
            </w:r>
          </w:p>
        </w:tc>
        <w:tc>
          <w:tcPr>
            <w:tcW w:w="9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z w:val="16"/>
                <w:szCs w:val="16"/>
                <w:lang w:eastAsia="pl-PL"/>
              </w:rPr>
              <w:t>Suma godzin</w:t>
            </w:r>
          </w:p>
        </w:tc>
      </w:tr>
      <w:tr w:rsidR="00C846BB" w:rsidRPr="00777BF5" w:rsidTr="005150E9">
        <w:trPr>
          <w:jc w:val="center"/>
        </w:trPr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9" w:type="dxa"/>
            <w:tcBorders>
              <w:lef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C846BB" w:rsidRPr="00777BF5" w:rsidTr="005150E9">
        <w:trPr>
          <w:jc w:val="center"/>
        </w:trPr>
        <w:tc>
          <w:tcPr>
            <w:tcW w:w="1275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6"/>
                <w:szCs w:val="16"/>
                <w:lang w:eastAsia="pl-PL"/>
              </w:rPr>
              <w:t>Studia niestacjonarne</w:t>
            </w:r>
          </w:p>
        </w:tc>
        <w:tc>
          <w:tcPr>
            <w:tcW w:w="92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919" w:type="dxa"/>
            <w:gridSpan w:val="5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20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</w:p>
        </w:tc>
        <w:tc>
          <w:tcPr>
            <w:tcW w:w="919" w:type="dxa"/>
            <w:gridSpan w:val="3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>125</w:t>
            </w:r>
          </w:p>
        </w:tc>
        <w:tc>
          <w:tcPr>
            <w:tcW w:w="9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b/>
                <w:sz w:val="20"/>
                <w:szCs w:val="24"/>
                <w:lang w:eastAsia="pl-PL"/>
              </w:rPr>
              <w:t>125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C846BB" w:rsidRPr="00777BF5" w:rsidRDefault="00C846BB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V. METODY REALIZACJI ZAJĘĆ DYDAKTYCZNYCH</w:t>
            </w:r>
          </w:p>
        </w:tc>
      </w:tr>
      <w:tr w:rsidR="00C846BB" w:rsidRPr="00777BF5" w:rsidTr="005150E9">
        <w:trPr>
          <w:jc w:val="center"/>
        </w:trPr>
        <w:tc>
          <w:tcPr>
            <w:tcW w:w="3448" w:type="dxa"/>
            <w:gridSpan w:val="10"/>
            <w:tcBorders>
              <w:top w:val="single" w:sz="1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Formy zajęć</w:t>
            </w:r>
          </w:p>
        </w:tc>
        <w:tc>
          <w:tcPr>
            <w:tcW w:w="7042" w:type="dxa"/>
            <w:gridSpan w:val="21"/>
            <w:tcBorders>
              <w:top w:val="single" w:sz="1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Metody dydaktyczne</w:t>
            </w:r>
          </w:p>
        </w:tc>
      </w:tr>
      <w:tr w:rsidR="00C846BB" w:rsidRPr="00777BF5" w:rsidTr="005150E9">
        <w:trPr>
          <w:jc w:val="center"/>
        </w:trPr>
        <w:tc>
          <w:tcPr>
            <w:tcW w:w="3448" w:type="dxa"/>
            <w:gridSpan w:val="10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Praktyka zawodowa</w:t>
            </w:r>
          </w:p>
        </w:tc>
        <w:tc>
          <w:tcPr>
            <w:tcW w:w="7042" w:type="dxa"/>
            <w:gridSpan w:val="21"/>
            <w:vAlign w:val="center"/>
          </w:tcPr>
          <w:p w:rsidR="00C846BB" w:rsidRPr="00777BF5" w:rsidRDefault="00C846BB" w:rsidP="005150E9">
            <w:pPr>
              <w:widowControl w:val="0"/>
              <w:ind w:right="51"/>
              <w:jc w:val="both"/>
              <w:rPr>
                <w:rFonts w:eastAsia="Times New Roman"/>
                <w:sz w:val="20"/>
                <w:szCs w:val="24"/>
                <w:lang w:eastAsia="pl-PL"/>
              </w:rPr>
            </w:pPr>
            <w:r>
              <w:rPr>
                <w:rFonts w:eastAsia="Times New Roman"/>
                <w:sz w:val="20"/>
                <w:szCs w:val="24"/>
                <w:lang w:eastAsia="pl-PL"/>
              </w:rPr>
              <w:t xml:space="preserve">Realizacja zadań </w:t>
            </w:r>
            <w:proofErr w:type="spellStart"/>
            <w:r>
              <w:rPr>
                <w:rFonts w:eastAsia="Times New Roman"/>
                <w:sz w:val="20"/>
                <w:szCs w:val="24"/>
                <w:lang w:eastAsia="pl-PL"/>
              </w:rPr>
              <w:t>optometrycznych</w:t>
            </w:r>
            <w:proofErr w:type="spellEnd"/>
            <w:r>
              <w:rPr>
                <w:rFonts w:eastAsia="Times New Roman"/>
                <w:sz w:val="20"/>
                <w:szCs w:val="24"/>
                <w:lang w:eastAsia="pl-PL"/>
              </w:rPr>
              <w:t xml:space="preserve"> w środowisku rzeczywistym</w:t>
            </w:r>
          </w:p>
        </w:tc>
      </w:tr>
      <w:tr w:rsidR="00C846BB" w:rsidRPr="00777BF5" w:rsidTr="005150E9">
        <w:tblPrEx>
          <w:tblBorders>
            <w:top w:val="single" w:sz="6" w:space="0" w:color="auto"/>
            <w:bottom w:val="single" w:sz="6" w:space="0" w:color="auto"/>
          </w:tblBorders>
        </w:tblPrEx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</w:tcPr>
          <w:p w:rsidR="00C846BB" w:rsidRPr="00777BF5" w:rsidRDefault="00C846BB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VI.  PRZEDMIOTOWE EFEKTY UCZENIA SIĘ</w:t>
            </w:r>
            <w:r w:rsidRPr="00777BF5">
              <w:rPr>
                <w:rFonts w:eastAsia="Times New Roman"/>
                <w:color w:val="FF0000"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br/>
              <w:t>Z ODNIESIEM DO EFEKTÓW UCZENIA SIĘ DLA KIERUNKU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Opis przedmiotowych efektów uczenia się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846BB" w:rsidRPr="00777BF5" w:rsidRDefault="00C846BB" w:rsidP="005150E9">
            <w:pPr>
              <w:widowControl w:val="0"/>
              <w:ind w:left="-57" w:right="-57"/>
              <w:jc w:val="center"/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18"/>
                <w:szCs w:val="18"/>
                <w:lang w:eastAsia="pl-PL"/>
              </w:rPr>
              <w:t>Odniesienie do efektu kierunkowego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3F3F3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Wiedza: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objaśnia metody badania i diagnostyki wykorzystywanej podczas badania okulistycznego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E62DA">
              <w:rPr>
                <w:rFonts w:eastAsia="Times New Roman"/>
                <w:sz w:val="20"/>
                <w:szCs w:val="20"/>
                <w:lang w:eastAsia="pl-PL"/>
              </w:rPr>
              <w:t>K_W05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6E62DA">
              <w:rPr>
                <w:rFonts w:eastAsia="Times New Roman"/>
                <w:sz w:val="20"/>
                <w:szCs w:val="20"/>
                <w:lang w:eastAsia="pl-PL"/>
              </w:rPr>
              <w:t>K_W06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objaśnia zawansowane procedury badania refrakcji różnymi metodami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6E62DA">
              <w:rPr>
                <w:rFonts w:eastAsia="Times New Roman"/>
                <w:sz w:val="20"/>
                <w:szCs w:val="20"/>
                <w:lang w:eastAsia="pl-PL"/>
              </w:rPr>
              <w:t>K_W08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6BB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charakteryzuje przyczyny i objawy typowych schorzeń okulistycznych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6E62DA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K_W07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Umiejętności: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zmierzyć wadę refrakcji i dokonać oceny przedniego odcinka oka.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6452E">
              <w:rPr>
                <w:rFonts w:eastAsia="Times New Roman"/>
                <w:sz w:val="20"/>
                <w:szCs w:val="20"/>
                <w:lang w:eastAsia="pl-PL"/>
              </w:rPr>
              <w:t>K_U03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P_U02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przeprowadzić ocenę tylnego odcinka oka.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46452E">
              <w:rPr>
                <w:rFonts w:eastAsia="Times New Roman"/>
                <w:sz w:val="20"/>
                <w:szCs w:val="20"/>
                <w:lang w:eastAsia="pl-PL"/>
              </w:rPr>
              <w:t>K_U03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, </w:t>
            </w:r>
            <w:r w:rsidRPr="0046452E">
              <w:rPr>
                <w:rFonts w:eastAsia="Times New Roman"/>
                <w:sz w:val="20"/>
                <w:szCs w:val="20"/>
                <w:lang w:eastAsia="pl-PL"/>
              </w:rPr>
              <w:t>K_U0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9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przeprowadzić badania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w różnych grupach wiekowych.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5E17CF">
              <w:rPr>
                <w:rFonts w:eastAsia="Times New Roman"/>
                <w:sz w:val="20"/>
                <w:szCs w:val="20"/>
                <w:lang w:eastAsia="pl-PL"/>
              </w:rPr>
              <w:t>K_U1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prowadzić dokumentacje pacjenta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K_U15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P_U05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pacjentem i udzielać porad w zakresie prawidłowej dbałości o narząd wzroku.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K_U16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Kompetencje społeczne: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  <w:tc>
          <w:tcPr>
            <w:tcW w:w="1582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955888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K_K05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7797" w:type="dxa"/>
            <w:gridSpan w:val="28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K_K06</w:t>
            </w:r>
          </w:p>
        </w:tc>
      </w:tr>
      <w:tr w:rsidR="00C846BB" w:rsidRPr="00777BF5" w:rsidTr="005150E9">
        <w:trPr>
          <w:trHeight w:val="126"/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bottom w:val="single" w:sz="12" w:space="0" w:color="auto"/>
            </w:tcBorders>
            <w:shd w:val="pct15" w:color="auto" w:fill="FFFFFF" w:themeFill="background1"/>
            <w:vAlign w:val="center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VII. TREŚCI KSZTAŁCENIA </w:t>
            </w:r>
          </w:p>
        </w:tc>
      </w:tr>
      <w:tr w:rsidR="00C846BB" w:rsidRPr="00777BF5" w:rsidTr="005150E9">
        <w:trPr>
          <w:trHeight w:val="757"/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pct5" w:color="auto" w:fill="FFFFFF" w:themeFill="background1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pct5" w:color="auto" w:fill="FFFFFF" w:themeFill="background1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Wykład:</w:t>
            </w:r>
          </w:p>
        </w:tc>
        <w:tc>
          <w:tcPr>
            <w:tcW w:w="1582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pct5" w:color="auto" w:fill="FFFFFF" w:themeFill="background1"/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Odniesienie do przedmiotowych efektów uczenia się 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Pr1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6BB" w:rsidRPr="00CF334B" w:rsidRDefault="00C846BB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Udział w przeprowadzaniu wywiadu z pacjentem okulistycznym.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wszystkie efekty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Pr2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CF334B">
              <w:rPr>
                <w:rFonts w:eastAsia="Times New Roman"/>
                <w:sz w:val="20"/>
                <w:szCs w:val="20"/>
                <w:lang w:eastAsia="pl-PL"/>
              </w:rPr>
              <w:t>Wykonywanie badań okulistyczno-</w:t>
            </w:r>
            <w:proofErr w:type="spellStart"/>
            <w:r w:rsidRPr="00CF334B">
              <w:rPr>
                <w:rFonts w:eastAsia="Times New Roman"/>
                <w:sz w:val="20"/>
                <w:szCs w:val="20"/>
                <w:lang w:eastAsia="pl-PL"/>
              </w:rPr>
              <w:t>optometrycznych</w:t>
            </w:r>
            <w:proofErr w:type="spellEnd"/>
            <w:r w:rsidRPr="00CF334B">
              <w:rPr>
                <w:rFonts w:eastAsia="Times New Roman"/>
                <w:sz w:val="20"/>
                <w:szCs w:val="20"/>
                <w:lang w:eastAsia="pl-PL"/>
              </w:rPr>
              <w:t xml:space="preserve"> u pacjentów z wykorzystaniem sprzętu dostępnego w danej placówce.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trHeight w:val="411"/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Pr3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6BB" w:rsidRPr="00CF334B" w:rsidRDefault="00C846BB" w:rsidP="005150E9">
            <w:pPr>
              <w:contextualSpacing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CF334B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prowadzeniu dokumentacji w zakresie przeprowadzonych badań u pacjentów przebywających na oddziale okulistycznym lub w poradni okulistycznej.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Pr4</w:t>
            </w:r>
          </w:p>
        </w:tc>
        <w:tc>
          <w:tcPr>
            <w:tcW w:w="779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CF334B">
              <w:rPr>
                <w:rFonts w:eastAsia="Times New Roman"/>
                <w:sz w:val="20"/>
                <w:szCs w:val="20"/>
                <w:lang w:eastAsia="pl-PL"/>
              </w:rPr>
              <w:t>Pomoc w obsłudze urządzeń znajdujących się  na oddziale okulistycznym lub w poradni okulistycznej</w:t>
            </w:r>
          </w:p>
        </w:tc>
        <w:tc>
          <w:tcPr>
            <w:tcW w:w="1582" w:type="dxa"/>
            <w:gridSpan w:val="2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ind w:left="-57" w:right="-57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C846BB" w:rsidRPr="00777BF5" w:rsidRDefault="00C846BB" w:rsidP="005150E9">
            <w:pPr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VIII. METODY WERYFIKACJI EFEKTÓW UCZENIA SIĘ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  <w:t xml:space="preserve">Efekty uczenia się </w:t>
            </w:r>
          </w:p>
        </w:tc>
        <w:tc>
          <w:tcPr>
            <w:tcW w:w="7797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>Metoda weryfikacji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b/>
                <w:spacing w:val="-1"/>
                <w:sz w:val="18"/>
                <w:szCs w:val="18"/>
                <w:highlight w:val="yellow"/>
                <w:lang w:eastAsia="pl-PL"/>
              </w:rPr>
            </w:pP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Metoda zajęć, </w:t>
            </w:r>
            <w:r w:rsidRPr="00777BF5">
              <w:rPr>
                <w:rFonts w:eastAsia="Times New Roman"/>
                <w:b/>
                <w:sz w:val="18"/>
                <w:szCs w:val="18"/>
                <w:lang w:eastAsia="pl-PL"/>
              </w:rPr>
              <w:br/>
              <w:t>w ramach której weryfikowany jest EU</w:t>
            </w:r>
          </w:p>
        </w:tc>
      </w:tr>
      <w:tr w:rsidR="00C846BB" w:rsidRPr="00777BF5" w:rsidTr="005150E9">
        <w:trPr>
          <w:cantSplit/>
          <w:trHeight w:val="1506"/>
          <w:jc w:val="center"/>
        </w:trPr>
        <w:tc>
          <w:tcPr>
            <w:tcW w:w="11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pisemny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Egzamin ustny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Test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Esej/ referat/ portfolio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Zadania/praca samodzielna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indywidualna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Prezentacja grupowa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indywidualny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Projekt grupowy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 xml:space="preserve">Karty obserwacji /karty samooceny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46BB" w:rsidRPr="00777BF5" w:rsidRDefault="00C846BB" w:rsidP="005150E9">
            <w:pPr>
              <w:spacing w:before="0" w:after="0"/>
              <w:ind w:left="113" w:right="113"/>
              <w:rPr>
                <w:rFonts w:eastAsia="Times New Roman"/>
                <w:sz w:val="18"/>
                <w:szCs w:val="18"/>
                <w:lang w:eastAsia="pl-PL"/>
              </w:rPr>
            </w:pPr>
            <w:r w:rsidRPr="00777BF5">
              <w:rPr>
                <w:rFonts w:eastAsia="Times New Roman"/>
                <w:sz w:val="18"/>
                <w:szCs w:val="18"/>
                <w:lang w:eastAsia="pl-PL"/>
              </w:rPr>
              <w:t>Aktywność na zajęciach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jc w:val="center"/>
              <w:rPr>
                <w:rFonts w:eastAsia="Times New Roman"/>
                <w:color w:val="FF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praktyka zawodowa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sz w:val="20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846BB" w:rsidRPr="00FA554F" w:rsidRDefault="00C846BB" w:rsidP="005150E9">
            <w:pPr>
              <w:spacing w:before="0" w:after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8" w:space="0" w:color="auto"/>
              <w:bottom w:val="single" w:sz="12" w:space="0" w:color="auto"/>
            </w:tcBorders>
            <w:shd w:val="clear" w:color="auto" w:fill="CCCCCC"/>
            <w:vAlign w:val="center"/>
          </w:tcPr>
          <w:p w:rsidR="00C846BB" w:rsidRPr="00777BF5" w:rsidRDefault="00C846BB" w:rsidP="005150E9">
            <w:pPr>
              <w:widowControl w:val="0"/>
              <w:spacing w:before="80" w:after="8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IX. KRYTERIA OCENY OSIĄGNIĘTYCH EFEKTÓW UCZENIA SIĘ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 xml:space="preserve">Efekty uczenia się </w:t>
            </w:r>
          </w:p>
        </w:tc>
        <w:tc>
          <w:tcPr>
            <w:tcW w:w="2292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Ocena niedostateczna</w:t>
            </w:r>
          </w:p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409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Zakres ocen 3,0-3,5</w:t>
            </w:r>
          </w:p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268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Zakres ocen 4,0-4,5</w:t>
            </w:r>
          </w:p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  <w:tc>
          <w:tcPr>
            <w:tcW w:w="241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b/>
                <w:sz w:val="20"/>
                <w:szCs w:val="24"/>
                <w:lang w:eastAsia="pl-PL"/>
              </w:rPr>
              <w:t>Ocena bardzo dobra</w:t>
            </w:r>
          </w:p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z w:val="20"/>
                <w:szCs w:val="24"/>
                <w:lang w:eastAsia="pl-PL"/>
              </w:rPr>
            </w:pPr>
            <w:r w:rsidRPr="00777BF5">
              <w:rPr>
                <w:rFonts w:eastAsia="Times New Roman"/>
                <w:sz w:val="20"/>
                <w:szCs w:val="24"/>
                <w:lang w:eastAsia="pl-PL"/>
              </w:rPr>
              <w:t>Student zna i rozumie / potrafi / jest gotów do: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objaśnia metod badania i diagnostyki wykorzystywanej podczas badania okulistycznego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objaśnia pobieżnie metody badania i diagnostyki wykorzystywanej podczas badania okulistycznego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bCs/>
                <w:iCs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objaśnia ogólnie metody badania i diagnostyki wykorzystywanej podczas badania okulistycznego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objaśnia szczegółowo metody badania i diagnostyki wykorzystywanej podczas badania okulistycznego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P_W02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objaśnia zawansowanych procedur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badania refrakcji różnymi metodami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objaśnia pobieżnie zawansowane procedury badania refrakcji różnymi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metodami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objaśnia ogólnie zawansowane procedury badania refrakcji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różnymi metodami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objaśnia szczegółowo zawansowane procedury badania refrakcji różnymi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metodami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P_W03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0546AC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</w:t>
            </w:r>
            <w:r w:rsidRPr="000546AC">
              <w:rPr>
                <w:rFonts w:eastAsia="Times New Roman"/>
                <w:sz w:val="20"/>
                <w:szCs w:val="20"/>
                <w:lang w:eastAsia="pl-PL"/>
              </w:rPr>
              <w:t xml:space="preserve">charakteryzuje przyczyn i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>objawów</w:t>
            </w:r>
            <w:r w:rsidRPr="000546AC">
              <w:rPr>
                <w:rFonts w:eastAsia="Times New Roman"/>
                <w:sz w:val="20"/>
                <w:szCs w:val="20"/>
                <w:lang w:eastAsia="pl-PL"/>
              </w:rPr>
              <w:t xml:space="preserve"> typowych schorzeń okulistycznych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0546AC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546AC">
              <w:rPr>
                <w:rFonts w:eastAsia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pobieżnie </w:t>
            </w:r>
            <w:r w:rsidRPr="000546AC">
              <w:rPr>
                <w:rFonts w:eastAsia="Times New Roman"/>
                <w:sz w:val="20"/>
                <w:szCs w:val="20"/>
                <w:lang w:eastAsia="pl-PL"/>
              </w:rPr>
              <w:t>przyczyny i objawy typowych schorzeń okulistycznych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546AC">
              <w:rPr>
                <w:rFonts w:eastAsia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ogólnie </w:t>
            </w:r>
            <w:r w:rsidRPr="000546AC">
              <w:rPr>
                <w:rFonts w:eastAsia="Times New Roman"/>
                <w:sz w:val="20"/>
                <w:szCs w:val="20"/>
                <w:lang w:eastAsia="pl-PL"/>
              </w:rPr>
              <w:t>przyczyny i objawy typowych schorzeń okulistycznych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0546AC">
              <w:rPr>
                <w:rFonts w:eastAsia="Times New Roman"/>
                <w:sz w:val="20"/>
                <w:szCs w:val="20"/>
                <w:lang w:eastAsia="pl-PL"/>
              </w:rPr>
              <w:t xml:space="preserve">charakteryzuje </w:t>
            </w: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szczegółowo </w:t>
            </w:r>
            <w:r w:rsidRPr="000546AC">
              <w:rPr>
                <w:rFonts w:eastAsia="Times New Roman"/>
                <w:sz w:val="20"/>
                <w:szCs w:val="20"/>
                <w:lang w:eastAsia="pl-PL"/>
              </w:rPr>
              <w:t>przyczyny i objawy typowych schorzeń okulistycznych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prawidłowo zmierzyć wady refrakcji i dokonać oceny przedniego odcinka oka.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trudnością zmierzyć wadę refrakcji i dokonać oceny przedniego odcinka oka.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ze znaczną biegłością zmierzyć wadę refrakcji i dokonać oceny przedniego odcinka oka.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w pełni biegle zmierzyć wadę refrakcji i dokonać oceny przedniego odcinka oka.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przeprowadzić oceny tylnego odcinka oka.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 trudnością przeprowadzić ocenę tylnego odcinka oka.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ze znaczną biegłością przeprowadzić ocenę tylnego odcinka oka.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w pełni biegle przeprowadzić ocenę tylnego odcinka oka.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P_U03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nie potrafi przeprowadzić badania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optometrycznego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w różnych grupach wiekowych.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z różnym stopniem trudności przeprowadzić badania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w różnych grupach wiekowych.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przeprowadzić badania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w różnych grupach wiekowych, obserwowane są niewielkie niedociągnięcia przy pracy z niektórymi pacjentami.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 xml:space="preserve">potrafi biegle przeprowadzić badania </w:t>
            </w:r>
            <w:proofErr w:type="spellStart"/>
            <w:r>
              <w:rPr>
                <w:rFonts w:eastAsia="Times New Roman"/>
                <w:sz w:val="20"/>
                <w:szCs w:val="20"/>
                <w:lang w:eastAsia="pl-PL"/>
              </w:rPr>
              <w:t>optometryczny</w:t>
            </w:r>
            <w:proofErr w:type="spellEnd"/>
            <w:r>
              <w:rPr>
                <w:rFonts w:eastAsia="Times New Roman"/>
                <w:sz w:val="20"/>
                <w:szCs w:val="20"/>
                <w:lang w:eastAsia="pl-PL"/>
              </w:rPr>
              <w:t xml:space="preserve"> u pacjentów w różnych grupach wiekowych.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P_U04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lub nie chce prowadzić dokumentacji pacjenta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prowadzić dokumentacje pacjenta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P_U05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nie potrafi komunikować się z pacjentem i udzielać porad w zakresie prawidłowej dbałości o narząd wzroku.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pacjentem i udzielać typowych porad w zakresie prawidłowej dbałości o narząd wzroku.</w:t>
            </w:r>
          </w:p>
        </w:tc>
        <w:tc>
          <w:tcPr>
            <w:tcW w:w="22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pacjentem i udzielać różnych ogólnych porad w zakresie prawidłowej dbałości o narząd wzroku.</w:t>
            </w: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potrafi komunikować się z pacjentem i udzielać różnych szczegółowych porad w zakresie prawidłowej dbałości o narząd wzroku.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P_K01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nie rozumie potrzeby zachowania się w sposób profesjonalny </w:t>
            </w:r>
          </w:p>
        </w:tc>
        <w:tc>
          <w:tcPr>
            <w:tcW w:w="708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 xml:space="preserve">rozumie potrzebę zachowania się w sposób profesjonalny </w:t>
            </w:r>
          </w:p>
        </w:tc>
      </w:tr>
      <w:tr w:rsidR="00C846BB" w:rsidRPr="00777BF5" w:rsidTr="005150E9">
        <w:trPr>
          <w:jc w:val="center"/>
        </w:trPr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z w:val="20"/>
                <w:szCs w:val="20"/>
                <w:lang w:eastAsia="pl-PL"/>
              </w:rPr>
              <w:t>P_K02</w:t>
            </w:r>
          </w:p>
        </w:tc>
        <w:tc>
          <w:tcPr>
            <w:tcW w:w="22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spacing w:before="0" w:after="0"/>
              <w:ind w:left="-57" w:right="-57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pracy, choć nie jest w tym systematyczny</w:t>
            </w:r>
          </w:p>
        </w:tc>
        <w:tc>
          <w:tcPr>
            <w:tcW w:w="46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rozumie konieczność przygotowania się do pracy.</w:t>
            </w:r>
          </w:p>
        </w:tc>
      </w:tr>
      <w:tr w:rsidR="00C846BB" w:rsidRPr="00777BF5" w:rsidTr="005150E9">
        <w:trPr>
          <w:jc w:val="center"/>
        </w:trPr>
        <w:tc>
          <w:tcPr>
            <w:tcW w:w="10490" w:type="dxa"/>
            <w:gridSpan w:val="31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FFFFFF" w:themeFill="background1"/>
            <w:vAlign w:val="center"/>
          </w:tcPr>
          <w:p w:rsidR="00C846BB" w:rsidRPr="00777BF5" w:rsidRDefault="00C846BB" w:rsidP="005150E9">
            <w:pPr>
              <w:widowControl w:val="0"/>
              <w:spacing w:before="80" w:after="8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X. NAKŁAD PRACY STUDENTA – WYMIAR GODZIN I BILANS PUNKTÓW ECTS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vMerge w:val="restart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Rodzaj aktywności</w:t>
            </w:r>
            <w:r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 xml:space="preserve"> / </w:t>
            </w: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3658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</w:t>
            </w:r>
          </w:p>
          <w:p w:rsidR="00C846BB" w:rsidRPr="00777BF5" w:rsidRDefault="00C846BB" w:rsidP="005150E9">
            <w:pPr>
              <w:widowControl w:val="0"/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spacing w:before="0" w:after="0"/>
              <w:jc w:val="center"/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spacing w:val="-1"/>
                <w:sz w:val="20"/>
                <w:szCs w:val="20"/>
                <w:lang w:eastAsia="pl-PL"/>
              </w:rPr>
              <w:t>Studia niestacjonarne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zajęciach dydaktycznych (wykłady, ćwiczenia, konwersatoria,  projekt, laboratoria, warsztaty, seminaria)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Egzamin/zaliczenie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Udział w konsultacjach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color w:val="FF000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Praca własna studenta, w tym: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eseju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literaturowych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Przeprowadzenie badań empirycznych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Projekt (zebranie danych, przygotowanie założeń projektu, wykonanie projektu, itd.)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lastRenderedPageBreak/>
              <w:t>Przygotowanie się do zajęć dydaktycznych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C846BB">
            <w:pPr>
              <w:widowControl w:val="0"/>
              <w:numPr>
                <w:ilvl w:val="0"/>
                <w:numId w:val="1"/>
              </w:numPr>
              <w:spacing w:before="0" w:after="0"/>
              <w:ind w:left="401" w:hanging="284"/>
              <w:contextualSpacing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Przygotowanie się do egzaminu/kolokwium/zaliczenia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/>
                <w:bCs/>
                <w:snapToGrid w:val="0"/>
                <w:sz w:val="20"/>
                <w:szCs w:val="20"/>
                <w:lang w:eastAsia="pl-PL"/>
              </w:rPr>
              <w:t>Sumaryczne obciążenie pracą studenta (25h = 1 ECTS) SUMA godzin/ECTS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w bezpośrednim kontakcie z nauczycielem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kształtujących umiejętności praktyczne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spacing w:val="-1"/>
                <w:sz w:val="20"/>
                <w:szCs w:val="20"/>
                <w:lang w:eastAsia="pl-PL"/>
              </w:rPr>
              <w:t>125h/5 ECTS</w:t>
            </w:r>
          </w:p>
        </w:tc>
      </w:tr>
      <w:tr w:rsidR="00C846BB" w:rsidRPr="00777BF5" w:rsidTr="005150E9">
        <w:trPr>
          <w:jc w:val="center"/>
        </w:trPr>
        <w:tc>
          <w:tcPr>
            <w:tcW w:w="6832" w:type="dxa"/>
            <w:gridSpan w:val="2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846BB" w:rsidRPr="00777BF5" w:rsidRDefault="00C846BB" w:rsidP="005150E9">
            <w:pPr>
              <w:widowControl w:val="0"/>
              <w:jc w:val="both"/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</w:pPr>
            <w:r w:rsidRPr="00777BF5">
              <w:rPr>
                <w:rFonts w:eastAsia="Times New Roman"/>
                <w:bCs/>
                <w:snapToGrid w:val="0"/>
                <w:sz w:val="20"/>
                <w:szCs w:val="20"/>
                <w:lang w:eastAsia="pl-PL"/>
              </w:rPr>
              <w:t>Obciążenie studenta w ramach zajęć związanych z przygotowaniem do prowadzenia działalności naukowej lub udziału w tej działalności</w:t>
            </w:r>
          </w:p>
        </w:tc>
        <w:tc>
          <w:tcPr>
            <w:tcW w:w="184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  <w:tc>
          <w:tcPr>
            <w:tcW w:w="181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846BB" w:rsidRPr="00777BF5" w:rsidRDefault="00C846BB" w:rsidP="005150E9">
            <w:pPr>
              <w:widowControl w:val="0"/>
              <w:jc w:val="center"/>
              <w:rPr>
                <w:rFonts w:eastAsia="Times New Roman"/>
                <w:spacing w:val="-1"/>
                <w:sz w:val="20"/>
                <w:szCs w:val="20"/>
                <w:lang w:eastAsia="pl-PL"/>
              </w:rPr>
            </w:pPr>
          </w:p>
        </w:tc>
      </w:tr>
    </w:tbl>
    <w:p w:rsidR="00632BEF" w:rsidRDefault="00632BEF">
      <w:bookmarkStart w:id="1" w:name="_GoBack"/>
      <w:bookmarkEnd w:id="1"/>
    </w:p>
    <w:sectPr w:rsidR="00632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D6493"/>
    <w:multiLevelType w:val="hybridMultilevel"/>
    <w:tmpl w:val="4B6A9494"/>
    <w:lvl w:ilvl="0" w:tplc="0B84124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BB"/>
    <w:rsid w:val="00632BEF"/>
    <w:rsid w:val="00C8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C9B7B5-E2C7-41FD-A012-3BCC1B3CF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6BB"/>
    <w:pPr>
      <w:spacing w:before="60" w:after="60" w:line="240" w:lineRule="auto"/>
    </w:pPr>
    <w:rPr>
      <w:rFonts w:ascii="Times New Roman" w:eastAsia="Calibri" w:hAnsi="Times New Roman" w:cs="Times New Roman"/>
    </w:rPr>
  </w:style>
  <w:style w:type="paragraph" w:styleId="Nagwek1">
    <w:name w:val="heading 1"/>
    <w:basedOn w:val="Normalny"/>
    <w:next w:val="Normalny"/>
    <w:link w:val="Nagwek1Znak"/>
    <w:qFormat/>
    <w:rsid w:val="00C846BB"/>
    <w:pPr>
      <w:keepNext/>
      <w:keepLines/>
      <w:spacing w:before="120"/>
      <w:jc w:val="center"/>
      <w:outlineLvl w:val="0"/>
    </w:pPr>
    <w:rPr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846BB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1</cp:revision>
  <dcterms:created xsi:type="dcterms:W3CDTF">2022-02-11T20:55:00Z</dcterms:created>
  <dcterms:modified xsi:type="dcterms:W3CDTF">2022-02-11T20:55:00Z</dcterms:modified>
</cp:coreProperties>
</file>